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r w:rsidRPr="00BA2475">
        <w:rPr>
          <w:rFonts w:ascii="Times New Roman" w:hAnsi="Times New Roman" w:cs="Times New Roman"/>
          <w:b/>
          <w:sz w:val="24"/>
          <w:szCs w:val="24"/>
        </w:rPr>
        <w:t>Supply Chain Analysis</w:t>
      </w:r>
    </w:p>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p>
    <w:p w:rsidR="00BA2475" w:rsidRPr="00BA2475" w:rsidRDefault="00BA2475" w:rsidP="00BA2475">
      <w:pPr>
        <w:jc w:val="center"/>
        <w:rPr>
          <w:rFonts w:ascii="Times New Roman" w:hAnsi="Times New Roman" w:cs="Times New Roman"/>
          <w:b/>
          <w:sz w:val="24"/>
          <w:szCs w:val="24"/>
        </w:rPr>
      </w:pPr>
    </w:p>
    <w:p w:rsidR="00BA2475" w:rsidRPr="00780050" w:rsidRDefault="00BA2475" w:rsidP="00BA2475">
      <w:pPr>
        <w:spacing w:after="0" w:line="480" w:lineRule="auto"/>
        <w:jc w:val="center"/>
        <w:rPr>
          <w:rFonts w:ascii="Times New Roman" w:hAnsi="Times New Roman" w:cs="Times New Roman"/>
          <w:sz w:val="24"/>
          <w:szCs w:val="24"/>
        </w:rPr>
      </w:pPr>
      <w:r w:rsidRPr="00780050">
        <w:rPr>
          <w:rFonts w:ascii="Times New Roman" w:hAnsi="Times New Roman" w:cs="Times New Roman"/>
          <w:sz w:val="24"/>
          <w:szCs w:val="24"/>
        </w:rPr>
        <w:t>Student’s Name</w:t>
      </w:r>
      <w:r w:rsidRPr="00780050">
        <w:rPr>
          <w:rFonts w:ascii="Times New Roman" w:hAnsi="Times New Roman" w:cs="Times New Roman"/>
          <w:sz w:val="24"/>
          <w:szCs w:val="24"/>
        </w:rPr>
        <w:br/>
        <w:t>Department, University</w:t>
      </w:r>
      <w:r w:rsidRPr="00780050">
        <w:rPr>
          <w:rFonts w:ascii="Times New Roman" w:hAnsi="Times New Roman" w:cs="Times New Roman"/>
          <w:sz w:val="24"/>
          <w:szCs w:val="24"/>
        </w:rPr>
        <w:br/>
        <w:t>Course Number and Name</w:t>
      </w:r>
      <w:r w:rsidRPr="00780050">
        <w:rPr>
          <w:rFonts w:ascii="Times New Roman" w:hAnsi="Times New Roman" w:cs="Times New Roman"/>
          <w:sz w:val="24"/>
          <w:szCs w:val="24"/>
        </w:rPr>
        <w:br/>
        <w:t>Instructor’s Name</w:t>
      </w:r>
      <w:r w:rsidRPr="00780050">
        <w:rPr>
          <w:rFonts w:ascii="Times New Roman" w:hAnsi="Times New Roman" w:cs="Times New Roman"/>
          <w:sz w:val="24"/>
          <w:szCs w:val="24"/>
        </w:rPr>
        <w:br/>
        <w:t>Date</w:t>
      </w:r>
    </w:p>
    <w:p w:rsidR="00BA2475" w:rsidRDefault="00BA2475" w:rsidP="00FE022B"/>
    <w:p w:rsidR="00BA2475" w:rsidRDefault="00BA2475" w:rsidP="00FE022B"/>
    <w:p w:rsidR="00BA2475" w:rsidRDefault="00BA2475" w:rsidP="00FE022B"/>
    <w:p w:rsidR="00BA2475" w:rsidRDefault="00BA2475" w:rsidP="00FE022B"/>
    <w:p w:rsidR="00BA2475" w:rsidRDefault="00BA2475" w:rsidP="00FE022B"/>
    <w:p w:rsidR="00BA2475" w:rsidRDefault="00BA2475" w:rsidP="00FE022B"/>
    <w:p w:rsidR="00BA2475" w:rsidRDefault="00BA2475" w:rsidP="00FE022B"/>
    <w:p w:rsidR="00BA2475" w:rsidRDefault="00BA2475" w:rsidP="00FE022B"/>
    <w:p w:rsidR="00BA2475" w:rsidRDefault="00BA2475" w:rsidP="00FE022B"/>
    <w:p w:rsidR="00BA2475" w:rsidRDefault="00BA2475" w:rsidP="00FE022B"/>
    <w:p w:rsidR="00BA2475" w:rsidRDefault="00BA2475" w:rsidP="00FE022B"/>
    <w:p w:rsidR="00FE022B" w:rsidRPr="00BA2475" w:rsidRDefault="00FE022B" w:rsidP="00BA2475">
      <w:pPr>
        <w:spacing w:after="0" w:line="480" w:lineRule="auto"/>
        <w:ind w:firstLine="720"/>
        <w:jc w:val="both"/>
        <w:rPr>
          <w:rFonts w:ascii="Times New Roman" w:hAnsi="Times New Roman" w:cs="Times New Roman"/>
          <w:sz w:val="24"/>
          <w:szCs w:val="24"/>
        </w:rPr>
      </w:pPr>
      <w:r w:rsidRPr="00BA2475">
        <w:rPr>
          <w:rFonts w:ascii="Times New Roman" w:hAnsi="Times New Roman" w:cs="Times New Roman"/>
          <w:sz w:val="24"/>
          <w:szCs w:val="24"/>
        </w:rPr>
        <w:lastRenderedPageBreak/>
        <w:t>For the growth of any business, supply is usually critical because it ensures that the seller never runs out of stock and ensures that the buyers get want they want. Supply is usually a chain comprised of different parties that directly and indirectly work to fulfill customers' requirements. Therefore, the supply chain includes the suppliers, manufacturers, transporters, retailers, warehouses, and end-users. Thus, in each organization, for instance, in a manufacturing organization, the supply chain functions are pegged on receiving and fulfilling the needs of a customer. Such functions include developing a new product, operations, customer services, finance, marketing, and distribution. Therefore, the supply chain works to maximize the overall value generated by an organization. Its success is defined in terms of profitability, the difference between the revenue generated from customers, and the overall cost across the supply chain. These success aspects go hand with other aspects such as value chain and flow structure, source activities, risks, locations, logistics, inventory points and forecasting, and outputs, including customer service structure.</w:t>
      </w:r>
    </w:p>
    <w:p w:rsidR="00FE022B" w:rsidRPr="00BA2475" w:rsidRDefault="00FE022B" w:rsidP="00BA2475">
      <w:pPr>
        <w:spacing w:after="0" w:line="480" w:lineRule="auto"/>
        <w:ind w:firstLine="720"/>
        <w:jc w:val="both"/>
        <w:rPr>
          <w:rFonts w:ascii="Times New Roman" w:hAnsi="Times New Roman" w:cs="Times New Roman"/>
          <w:sz w:val="24"/>
          <w:szCs w:val="24"/>
        </w:rPr>
      </w:pPr>
      <w:r w:rsidRPr="00BA2475">
        <w:rPr>
          <w:rFonts w:ascii="Times New Roman" w:hAnsi="Times New Roman" w:cs="Times New Roman"/>
          <w:sz w:val="24"/>
          <w:szCs w:val="24"/>
        </w:rPr>
        <w:t xml:space="preserve">Value chain usually refers to all the activities undertaken by an organization to create competitive advantage and value for its customers. As such, the value chain incorporates the supply chain in product design, distribution, manufacturing, procurement, and fulfillment. Even though the supply chain is a component of the value chain, the two work to ensure increased business efficiency so that business can deliver the most value for the least possible cost; increasing productivity while keeping costs reasonable is usually the ultimate goal of the value chain, and since the supply chain involves the constant movement of commodities, the value chain ensures that it is done so within the limits that satisfy both customer and the seller. Competition for exceptional products, unbeatable prices, and customer loyalty is ever-increasing. Thus companies </w:t>
      </w:r>
      <w:r w:rsidRPr="00BA2475">
        <w:rPr>
          <w:rFonts w:ascii="Times New Roman" w:hAnsi="Times New Roman" w:cs="Times New Roman"/>
          <w:sz w:val="24"/>
          <w:szCs w:val="24"/>
        </w:rPr>
        <w:lastRenderedPageBreak/>
        <w:t>must continue to examine the value they create to maintain their competitive advantage, and the value chain ensures this alongside the flow structures.</w:t>
      </w:r>
    </w:p>
    <w:p w:rsidR="00FE022B" w:rsidRPr="00BA2475" w:rsidRDefault="00FE022B" w:rsidP="00BA2475">
      <w:pPr>
        <w:spacing w:after="0" w:line="480" w:lineRule="auto"/>
        <w:ind w:firstLine="720"/>
        <w:jc w:val="both"/>
        <w:rPr>
          <w:rFonts w:ascii="Times New Roman" w:hAnsi="Times New Roman" w:cs="Times New Roman"/>
          <w:sz w:val="24"/>
          <w:szCs w:val="24"/>
        </w:rPr>
      </w:pPr>
      <w:r w:rsidRPr="00BA2475">
        <w:rPr>
          <w:rFonts w:ascii="Times New Roman" w:hAnsi="Times New Roman" w:cs="Times New Roman"/>
          <w:sz w:val="24"/>
          <w:szCs w:val="24"/>
        </w:rPr>
        <w:t>As a network between an organization and its suppliers to produce and distribute a specific product or service, the supply chain usually has to be in total agreement with sourcing activities. Sourcing activities usually ensure the formation of trust-based and long-term relation</w:t>
      </w:r>
      <w:r w:rsidRPr="00BA2475">
        <w:rPr>
          <w:rFonts w:ascii="Times New Roman" w:hAnsi="Times New Roman" w:cs="Times New Roman"/>
          <w:sz w:val="24"/>
          <w:szCs w:val="24"/>
        </w:rPr>
        <w:t>ships with the suppliers (</w:t>
      </w:r>
      <w:proofErr w:type="spellStart"/>
      <w:r w:rsidRPr="00BA2475">
        <w:rPr>
          <w:rFonts w:ascii="Times New Roman" w:hAnsi="Times New Roman" w:cs="Times New Roman"/>
          <w:sz w:val="24"/>
          <w:szCs w:val="24"/>
        </w:rPr>
        <w:t>Bove</w:t>
      </w:r>
      <w:proofErr w:type="spellEnd"/>
      <w:r w:rsidRPr="00BA2475">
        <w:rPr>
          <w:rFonts w:ascii="Times New Roman" w:hAnsi="Times New Roman" w:cs="Times New Roman"/>
          <w:sz w:val="24"/>
          <w:szCs w:val="24"/>
        </w:rPr>
        <w:t xml:space="preserve"> and</w:t>
      </w:r>
      <w:r w:rsidRPr="00BA2475">
        <w:rPr>
          <w:rFonts w:ascii="Times New Roman" w:hAnsi="Times New Roman" w:cs="Times New Roman"/>
          <w:sz w:val="24"/>
          <w:szCs w:val="24"/>
        </w:rPr>
        <w:t xml:space="preserve"> Swartz, 2016). This usually leads to a reduction in the inventory while ensuring increased quality is achieved at a fair price. This network with the suppliers also does ensure that organizations lessen their environmental and social impact, thus positioning themselves for strong growth. A good grasp of the sourcing activities ensures the smooth flow of goods from one point to another, considering that all the parties involved eventually get value for the money. Thus, sourcing activities play a crucial role in ensuring that there is always a constant flow of commodities to satisfy the customers.</w:t>
      </w:r>
    </w:p>
    <w:p w:rsidR="00FE022B" w:rsidRPr="00BA2475" w:rsidRDefault="00FE022B" w:rsidP="00BA2475">
      <w:pPr>
        <w:spacing w:after="0" w:line="480" w:lineRule="auto"/>
        <w:ind w:firstLine="720"/>
        <w:jc w:val="both"/>
        <w:rPr>
          <w:rFonts w:ascii="Times New Roman" w:hAnsi="Times New Roman" w:cs="Times New Roman"/>
          <w:sz w:val="24"/>
          <w:szCs w:val="24"/>
        </w:rPr>
      </w:pPr>
      <w:r w:rsidRPr="00BA2475">
        <w:rPr>
          <w:rFonts w:ascii="Times New Roman" w:hAnsi="Times New Roman" w:cs="Times New Roman"/>
          <w:sz w:val="24"/>
          <w:szCs w:val="24"/>
        </w:rPr>
        <w:t xml:space="preserve">In the supply chain, the risk is considered the variation in the distribution of possible supply chain outcomes, likelihood, and subjective value. Risk outcomes are usually two; there are negative and positive outcomes depending on how well an individual might have handled the risks. Risks are usually witnessed in almost every component of the supply chain. There are risks associated with suppliers, transport, warehousing, marketing, and production. These risks are usually driven by infrastructural risks, regulatory, legal, or bureaucratic risks, demand and supply chain risks, and catastrophic risks (Zhao, </w:t>
      </w:r>
      <w:proofErr w:type="spellStart"/>
      <w:r w:rsidRPr="00BA2475">
        <w:rPr>
          <w:rFonts w:ascii="Times New Roman" w:hAnsi="Times New Roman" w:cs="Times New Roman"/>
          <w:sz w:val="24"/>
          <w:szCs w:val="24"/>
        </w:rPr>
        <w:t>Huo</w:t>
      </w:r>
      <w:proofErr w:type="spellEnd"/>
      <w:r w:rsidRPr="00BA2475">
        <w:rPr>
          <w:rFonts w:ascii="Times New Roman" w:hAnsi="Times New Roman" w:cs="Times New Roman"/>
          <w:sz w:val="24"/>
          <w:szCs w:val="24"/>
        </w:rPr>
        <w:t xml:space="preserve">, Zhao, &amp; Sun, 2013). An in-depth look at these risk drivers is usually critical because it ensures one gets the best outcomes out of the supply chain process. Each risk should be treated with equal urgency to achieve the required outcomes. The world of business is full of risks experienced by everyone, but what makes the difference in the </w:t>
      </w:r>
      <w:r w:rsidRPr="00BA2475">
        <w:rPr>
          <w:rFonts w:ascii="Times New Roman" w:hAnsi="Times New Roman" w:cs="Times New Roman"/>
          <w:sz w:val="24"/>
          <w:szCs w:val="24"/>
        </w:rPr>
        <w:lastRenderedPageBreak/>
        <w:t>outcome are the strategies employed in mitigating the risks. Thus, a good mitigation strategy towards a risk positively impacts the supply chain.</w:t>
      </w:r>
    </w:p>
    <w:p w:rsidR="00FE022B" w:rsidRPr="00BA2475" w:rsidRDefault="00FE022B" w:rsidP="00BA2475">
      <w:pPr>
        <w:spacing w:after="0" w:line="480" w:lineRule="auto"/>
        <w:ind w:firstLine="720"/>
        <w:jc w:val="both"/>
        <w:rPr>
          <w:rFonts w:ascii="Times New Roman" w:hAnsi="Times New Roman" w:cs="Times New Roman"/>
          <w:sz w:val="24"/>
          <w:szCs w:val="24"/>
        </w:rPr>
      </w:pPr>
      <w:r w:rsidRPr="00BA2475">
        <w:rPr>
          <w:rFonts w:ascii="Times New Roman" w:hAnsi="Times New Roman" w:cs="Times New Roman"/>
          <w:sz w:val="24"/>
          <w:szCs w:val="24"/>
        </w:rPr>
        <w:t xml:space="preserve">An efficient and effective supply chain is always on constant thoughts on how best customer value can be maximized and thus achieve sustainable competitive advantage. Location services have a great influence in ensuring the flow of commodities at different levels of the supply chain and the improvement of worker protection. The aspect of location is usually closely associated with logistics, which plays a critical role in the growth of the global economy. In the supply chain, the movement of goods is usually critical, and thus, before one engages, analysis of location and the best form of logistics to be used is critical. Logistics impacts the supply chain in terms of shipment of goods and how fast the good can be supplied to the consumer regardless of the location, thus adding a competitive edge to other businesses. Concerning location, despite the ease of transportation, location is also critical in the supply chain on issues concerning safety goods. Thus, setting a supply chain plan, storing the commodities and their logistical aspects are critical in making the supply chain efficient and effective.  </w:t>
      </w:r>
    </w:p>
    <w:p w:rsidR="00713886" w:rsidRPr="00BA2475" w:rsidRDefault="00FE022B" w:rsidP="00BA2475">
      <w:pPr>
        <w:spacing w:after="0" w:line="480" w:lineRule="auto"/>
        <w:ind w:firstLine="720"/>
        <w:jc w:val="both"/>
        <w:rPr>
          <w:rFonts w:ascii="Times New Roman" w:hAnsi="Times New Roman" w:cs="Times New Roman"/>
          <w:sz w:val="24"/>
          <w:szCs w:val="24"/>
        </w:rPr>
      </w:pPr>
      <w:r w:rsidRPr="00BA2475">
        <w:rPr>
          <w:rFonts w:ascii="Times New Roman" w:hAnsi="Times New Roman" w:cs="Times New Roman"/>
          <w:sz w:val="24"/>
          <w:szCs w:val="24"/>
        </w:rPr>
        <w:t xml:space="preserve"> In the supply chain, inventory is considered a core component since it is where all aspects of the supply chain converge. Inventorying involves controlling and overseeing purchases from suppliers and customers, maintaining stock storage, and controlling product amounts for sales and order fulfillment. As such, in the supply chain, inventory management is critical. Ensuring that the customer and seller needs are always satisfied is concerned through the stock and purchasing inventory and profiting. Inventorying always paves the way for forecasting. Forecasting is always critical since it helps with filling orders on time, thus avoiding unnecessary inventory expenses and even preparing for price fluctuation. Delivery and cost performance are usually achieved easily when proper forecasting and inventorying have been done right.</w:t>
      </w:r>
    </w:p>
    <w:sdt>
      <w:sdtPr>
        <w:rPr>
          <w:rFonts w:ascii="Times New Roman" w:hAnsi="Times New Roman" w:cs="Times New Roman"/>
          <w:sz w:val="24"/>
          <w:szCs w:val="24"/>
        </w:rPr>
        <w:id w:val="1045560250"/>
        <w:docPartObj>
          <w:docPartGallery w:val="Bibliographies"/>
          <w:docPartUnique/>
        </w:docPartObj>
      </w:sdtPr>
      <w:sdtEndPr>
        <w:rPr>
          <w:rFonts w:eastAsiaTheme="minorHAnsi"/>
          <w:color w:val="auto"/>
        </w:rPr>
      </w:sdtEndPr>
      <w:sdtContent>
        <w:p w:rsidR="00FE022B" w:rsidRPr="00BA2475" w:rsidRDefault="00FE022B" w:rsidP="00BA2475">
          <w:pPr>
            <w:pStyle w:val="Heading1"/>
            <w:spacing w:before="0" w:line="480" w:lineRule="auto"/>
            <w:jc w:val="both"/>
            <w:rPr>
              <w:rFonts w:ascii="Times New Roman" w:hAnsi="Times New Roman" w:cs="Times New Roman"/>
              <w:color w:val="auto"/>
              <w:sz w:val="24"/>
              <w:szCs w:val="24"/>
            </w:rPr>
          </w:pPr>
          <w:r w:rsidRPr="00BA2475">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FE022B" w:rsidRPr="00BA2475" w:rsidRDefault="00FE022B" w:rsidP="00BA2475">
              <w:pPr>
                <w:pStyle w:val="Bibliography"/>
                <w:spacing w:after="0" w:line="480" w:lineRule="auto"/>
                <w:ind w:left="720" w:hanging="720"/>
                <w:jc w:val="both"/>
                <w:rPr>
                  <w:rFonts w:ascii="Times New Roman" w:hAnsi="Times New Roman" w:cs="Times New Roman"/>
                  <w:noProof/>
                  <w:sz w:val="24"/>
                  <w:szCs w:val="24"/>
                </w:rPr>
              </w:pPr>
              <w:r w:rsidRPr="00BA2475">
                <w:rPr>
                  <w:rFonts w:ascii="Times New Roman" w:hAnsi="Times New Roman" w:cs="Times New Roman"/>
                  <w:sz w:val="24"/>
                  <w:szCs w:val="24"/>
                </w:rPr>
                <w:fldChar w:fldCharType="begin"/>
              </w:r>
              <w:r w:rsidRPr="00BA2475">
                <w:rPr>
                  <w:rFonts w:ascii="Times New Roman" w:hAnsi="Times New Roman" w:cs="Times New Roman"/>
                  <w:sz w:val="24"/>
                  <w:szCs w:val="24"/>
                </w:rPr>
                <w:instrText xml:space="preserve"> BIBLIOGRAPHY </w:instrText>
              </w:r>
              <w:r w:rsidRPr="00BA2475">
                <w:rPr>
                  <w:rFonts w:ascii="Times New Roman" w:hAnsi="Times New Roman" w:cs="Times New Roman"/>
                  <w:sz w:val="24"/>
                  <w:szCs w:val="24"/>
                </w:rPr>
                <w:fldChar w:fldCharType="separate"/>
              </w:r>
              <w:r w:rsidRPr="00BA2475">
                <w:rPr>
                  <w:rFonts w:ascii="Times New Roman" w:hAnsi="Times New Roman" w:cs="Times New Roman"/>
                  <w:noProof/>
                  <w:sz w:val="24"/>
                  <w:szCs w:val="24"/>
                </w:rPr>
                <w:t xml:space="preserve">Bove, A.-T., &amp; Swartz, S. (2016, Nov 11). </w:t>
              </w:r>
              <w:r w:rsidRPr="00BA2475">
                <w:rPr>
                  <w:rFonts w:ascii="Times New Roman" w:hAnsi="Times New Roman" w:cs="Times New Roman"/>
                  <w:i/>
                  <w:iCs/>
                  <w:noProof/>
                  <w:sz w:val="24"/>
                  <w:szCs w:val="24"/>
                </w:rPr>
                <w:t>Starting at the Source: Sustainability in Supply Chains</w:t>
              </w:r>
              <w:r w:rsidRPr="00BA2475">
                <w:rPr>
                  <w:rFonts w:ascii="Times New Roman" w:hAnsi="Times New Roman" w:cs="Times New Roman"/>
                  <w:noProof/>
                  <w:sz w:val="24"/>
                  <w:szCs w:val="24"/>
                </w:rPr>
                <w:t>. Retrieved from Mckinsey: https://www.mckinsey.com/business-functions/su</w:t>
              </w:r>
              <w:bookmarkStart w:id="0" w:name="_GoBack"/>
              <w:bookmarkEnd w:id="0"/>
              <w:r w:rsidRPr="00BA2475">
                <w:rPr>
                  <w:rFonts w:ascii="Times New Roman" w:hAnsi="Times New Roman" w:cs="Times New Roman"/>
                  <w:noProof/>
                  <w:sz w:val="24"/>
                  <w:szCs w:val="24"/>
                </w:rPr>
                <w:t>stainability/our-insights/starting-at-the-source-sustainability-in-supply-chains</w:t>
              </w:r>
            </w:p>
            <w:p w:rsidR="00FE022B" w:rsidRPr="00BA2475" w:rsidRDefault="00FE022B" w:rsidP="00BA2475">
              <w:pPr>
                <w:pStyle w:val="Bibliography"/>
                <w:spacing w:after="0" w:line="480" w:lineRule="auto"/>
                <w:ind w:left="720" w:hanging="720"/>
                <w:jc w:val="both"/>
                <w:rPr>
                  <w:rFonts w:ascii="Times New Roman" w:hAnsi="Times New Roman" w:cs="Times New Roman"/>
                  <w:noProof/>
                  <w:sz w:val="24"/>
                  <w:szCs w:val="24"/>
                </w:rPr>
              </w:pPr>
              <w:r w:rsidRPr="00BA2475">
                <w:rPr>
                  <w:rFonts w:ascii="Times New Roman" w:hAnsi="Times New Roman" w:cs="Times New Roman"/>
                  <w:noProof/>
                  <w:sz w:val="24"/>
                  <w:szCs w:val="24"/>
                </w:rPr>
                <w:t xml:space="preserve">Zhao, X., Huo, B., Zhao, L., &amp; Sun, L. (2013). The impact of supply chain risk vn supply chain integration and company performance: a global investigation. </w:t>
              </w:r>
              <w:r w:rsidRPr="00BA2475">
                <w:rPr>
                  <w:rFonts w:ascii="Times New Roman" w:hAnsi="Times New Roman" w:cs="Times New Roman"/>
                  <w:i/>
                  <w:iCs/>
                  <w:noProof/>
                  <w:sz w:val="24"/>
                  <w:szCs w:val="24"/>
                </w:rPr>
                <w:t>Supply Chain Management, 18</w:t>
              </w:r>
              <w:r w:rsidRPr="00BA2475">
                <w:rPr>
                  <w:rFonts w:ascii="Times New Roman" w:hAnsi="Times New Roman" w:cs="Times New Roman"/>
                  <w:noProof/>
                  <w:sz w:val="24"/>
                  <w:szCs w:val="24"/>
                </w:rPr>
                <w:t>(2).</w:t>
              </w:r>
            </w:p>
            <w:p w:rsidR="00FE022B" w:rsidRPr="00BA2475" w:rsidRDefault="00FE022B" w:rsidP="00BA2475">
              <w:pPr>
                <w:spacing w:after="0" w:line="480" w:lineRule="auto"/>
                <w:ind w:left="720" w:hanging="720"/>
                <w:jc w:val="both"/>
                <w:rPr>
                  <w:rFonts w:ascii="Times New Roman" w:hAnsi="Times New Roman" w:cs="Times New Roman"/>
                  <w:sz w:val="24"/>
                  <w:szCs w:val="24"/>
                </w:rPr>
              </w:pPr>
              <w:r w:rsidRPr="00BA2475">
                <w:rPr>
                  <w:rFonts w:ascii="Times New Roman" w:hAnsi="Times New Roman" w:cs="Times New Roman"/>
                  <w:b/>
                  <w:bCs/>
                  <w:noProof/>
                  <w:sz w:val="24"/>
                  <w:szCs w:val="24"/>
                </w:rPr>
                <w:fldChar w:fldCharType="end"/>
              </w:r>
            </w:p>
          </w:sdtContent>
        </w:sdt>
      </w:sdtContent>
    </w:sdt>
    <w:p w:rsidR="00FE022B" w:rsidRPr="00BA2475" w:rsidRDefault="00FE022B" w:rsidP="00BA2475">
      <w:pPr>
        <w:spacing w:after="0" w:line="480" w:lineRule="auto"/>
        <w:jc w:val="both"/>
        <w:rPr>
          <w:rFonts w:ascii="Times New Roman" w:hAnsi="Times New Roman" w:cs="Times New Roman"/>
          <w:sz w:val="24"/>
          <w:szCs w:val="24"/>
        </w:rPr>
      </w:pPr>
    </w:p>
    <w:sectPr w:rsidR="00FE022B" w:rsidRPr="00BA2475">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A71" w:rsidRDefault="00B64A71" w:rsidP="00BA2475">
      <w:pPr>
        <w:spacing w:after="0" w:line="240" w:lineRule="auto"/>
      </w:pPr>
      <w:r>
        <w:separator/>
      </w:r>
    </w:p>
  </w:endnote>
  <w:endnote w:type="continuationSeparator" w:id="0">
    <w:p w:rsidR="00B64A71" w:rsidRDefault="00B64A71" w:rsidP="00BA2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A71" w:rsidRDefault="00B64A71" w:rsidP="00BA2475">
      <w:pPr>
        <w:spacing w:after="0" w:line="240" w:lineRule="auto"/>
      </w:pPr>
      <w:r>
        <w:separator/>
      </w:r>
    </w:p>
  </w:footnote>
  <w:footnote w:type="continuationSeparator" w:id="0">
    <w:p w:rsidR="00B64A71" w:rsidRDefault="00B64A71" w:rsidP="00BA24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3142734"/>
      <w:docPartObj>
        <w:docPartGallery w:val="Page Numbers (Top of Page)"/>
        <w:docPartUnique/>
      </w:docPartObj>
    </w:sdtPr>
    <w:sdtEndPr>
      <w:rPr>
        <w:noProof/>
      </w:rPr>
    </w:sdtEndPr>
    <w:sdtContent>
      <w:p w:rsidR="00BA2475" w:rsidRDefault="00BA2475">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BA2475" w:rsidRDefault="00BA24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305"/>
    <w:rsid w:val="000B5E44"/>
    <w:rsid w:val="001B75A9"/>
    <w:rsid w:val="00273C7B"/>
    <w:rsid w:val="00320D28"/>
    <w:rsid w:val="0037272C"/>
    <w:rsid w:val="003B3DE5"/>
    <w:rsid w:val="004039F5"/>
    <w:rsid w:val="00424AFA"/>
    <w:rsid w:val="00510C83"/>
    <w:rsid w:val="005F0F87"/>
    <w:rsid w:val="00713886"/>
    <w:rsid w:val="007C54AA"/>
    <w:rsid w:val="008D6C19"/>
    <w:rsid w:val="009300E4"/>
    <w:rsid w:val="00A05513"/>
    <w:rsid w:val="00A73785"/>
    <w:rsid w:val="00B64A71"/>
    <w:rsid w:val="00BA2475"/>
    <w:rsid w:val="00CC649C"/>
    <w:rsid w:val="00F50910"/>
    <w:rsid w:val="00FB5EFD"/>
    <w:rsid w:val="00FD3305"/>
    <w:rsid w:val="00FE0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740949-34F6-46C0-8BF1-00C0B74D1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E02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22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E022B"/>
  </w:style>
  <w:style w:type="paragraph" w:styleId="Header">
    <w:name w:val="header"/>
    <w:basedOn w:val="Normal"/>
    <w:link w:val="HeaderChar"/>
    <w:uiPriority w:val="99"/>
    <w:unhideWhenUsed/>
    <w:rsid w:val="00BA2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475"/>
  </w:style>
  <w:style w:type="paragraph" w:styleId="Footer">
    <w:name w:val="footer"/>
    <w:basedOn w:val="Normal"/>
    <w:link w:val="FooterChar"/>
    <w:uiPriority w:val="99"/>
    <w:unhideWhenUsed/>
    <w:rsid w:val="00BA2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64235">
      <w:bodyDiv w:val="1"/>
      <w:marLeft w:val="0"/>
      <w:marRight w:val="0"/>
      <w:marTop w:val="0"/>
      <w:marBottom w:val="0"/>
      <w:divBdr>
        <w:top w:val="none" w:sz="0" w:space="0" w:color="auto"/>
        <w:left w:val="none" w:sz="0" w:space="0" w:color="auto"/>
        <w:bottom w:val="none" w:sz="0" w:space="0" w:color="auto"/>
        <w:right w:val="none" w:sz="0" w:space="0" w:color="auto"/>
      </w:divBdr>
    </w:div>
    <w:div w:id="840659069">
      <w:bodyDiv w:val="1"/>
      <w:marLeft w:val="0"/>
      <w:marRight w:val="0"/>
      <w:marTop w:val="0"/>
      <w:marBottom w:val="0"/>
      <w:divBdr>
        <w:top w:val="none" w:sz="0" w:space="0" w:color="auto"/>
        <w:left w:val="none" w:sz="0" w:space="0" w:color="auto"/>
        <w:bottom w:val="none" w:sz="0" w:space="0" w:color="auto"/>
        <w:right w:val="none" w:sz="0" w:space="0" w:color="auto"/>
      </w:divBdr>
    </w:div>
    <w:div w:id="167413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Zha13</b:Tag>
    <b:SourceType>JournalArticle</b:SourceType>
    <b:Guid>{2C1CD88E-0A5D-4151-8B40-9E0CCCBB63D0}</b:Guid>
    <b:Title>The impact of supply chain risk vn supply chain integration and company performance: a global investigation</b:Title>
    <b:Year>2013</b:Year>
    <b:Author>
      <b:Author>
        <b:NameList>
          <b:Person>
            <b:Last>Zhao</b:Last>
            <b:First>Xiande</b:First>
          </b:Person>
          <b:Person>
            <b:Last>Huo</b:Last>
            <b:First>Baofeng</b:First>
          </b:Person>
          <b:Person>
            <b:Last>Zhao</b:Last>
            <b:First>Li</b:First>
          </b:Person>
          <b:Person>
            <b:Last>Sun</b:Last>
            <b:First>Linyan</b:First>
          </b:Person>
        </b:NameList>
      </b:Author>
    </b:Author>
    <b:JournalName>Supply Chain Management</b:JournalName>
    <b:Volume>18</b:Volume>
    <b:Issue>2</b:Issue>
    <b:RefOrder>1</b:RefOrder>
  </b:Source>
  <b:Source>
    <b:Tag>Bov16</b:Tag>
    <b:SourceType>InternetSite</b:SourceType>
    <b:Guid>{96AD1AF1-379B-47A1-B4FD-D5B57C31E6CF}</b:Guid>
    <b:Title>Starting at the Source: Sustainability in Supply Chains</b:Title>
    <b:Year>2016</b:Year>
    <b:Author>
      <b:Author>
        <b:NameList>
          <b:Person>
            <b:Last>Bove</b:Last>
            <b:First>Anne-Titia</b:First>
          </b:Person>
          <b:Person>
            <b:Last>Swartz</b:Last>
            <b:First>Steven</b:First>
          </b:Person>
        </b:NameList>
      </b:Author>
    </b:Author>
    <b:InternetSiteTitle>Mckinsey</b:InternetSiteTitle>
    <b:Month>Nov</b:Month>
    <b:Day>11</b:Day>
    <b:URL>https://www.mckinsey.com/business-functions/sustainability/our-insights/starting-at-the-source-sustainability-in-supply-chains</b:URL>
    <b:RefOrder>2</b:RefOrder>
  </b:Source>
</b:Sources>
</file>

<file path=customXml/itemProps1.xml><?xml version="1.0" encoding="utf-8"?>
<ds:datastoreItem xmlns:ds="http://schemas.openxmlformats.org/officeDocument/2006/customXml" ds:itemID="{4E4C538F-4785-4A54-B5B3-9E1DC22DB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1780</TotalTime>
  <Pages>5</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dc:creator>
  <cp:keywords/>
  <dc:description/>
  <cp:lastModifiedBy>Gry</cp:lastModifiedBy>
  <cp:revision>5</cp:revision>
  <dcterms:created xsi:type="dcterms:W3CDTF">2021-09-18T20:16:00Z</dcterms:created>
  <dcterms:modified xsi:type="dcterms:W3CDTF">2021-09-20T02:06:00Z</dcterms:modified>
</cp:coreProperties>
</file>